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  <w:r>
        <w:rPr>
          <w:noProof/>
        </w:rPr>
        <w:drawing>
          <wp:inline distT="0" distB="0" distL="0" distR="0" wp14:anchorId="4FBA05BD" wp14:editId="44429F10">
            <wp:extent cx="1676400" cy="2004611"/>
            <wp:effectExtent l="0" t="0" r="0" b="0"/>
            <wp:docPr id="1" name="Picture 1" descr="https://upload.wikimedia.org/wikipedia/commons/f/fa/Joseph_McCar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f/fa/Joseph_McCarth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51" w:rsidRPr="00F17F51" w:rsidRDefault="00F17F51" w:rsidP="00F17F51">
      <w:pPr>
        <w:spacing w:after="0" w:line="240" w:lineRule="auto"/>
        <w:rPr>
          <w:b/>
        </w:rPr>
      </w:pPr>
      <w:r w:rsidRPr="00F17F51">
        <w:rPr>
          <w:b/>
        </w:rPr>
        <w:t>Joseph McCarthy</w:t>
      </w:r>
    </w:p>
    <w:p w:rsidR="00F17F51" w:rsidRDefault="00F17F51" w:rsidP="00F17F51">
      <w:pPr>
        <w:spacing w:after="0" w:line="240" w:lineRule="auto"/>
      </w:pPr>
      <w:r>
        <w:t>Senator from Wisconsin</w:t>
      </w:r>
    </w:p>
    <w:p w:rsidR="00F17F51" w:rsidRDefault="00F17F51" w:rsidP="00F17F51">
      <w:pPr>
        <w:spacing w:after="0" w:line="240" w:lineRule="auto"/>
      </w:pPr>
      <w:r>
        <w:t>Served from 1947-1957 (the year of his death)</w:t>
      </w:r>
    </w:p>
    <w:p w:rsidR="00F17F51" w:rsidRDefault="00F17F51" w:rsidP="00F17F51">
      <w:pPr>
        <w:spacing w:after="0" w:line="240" w:lineRule="auto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F17F51" w:rsidRPr="00F17F51" w:rsidRDefault="00F17F51" w:rsidP="00F17F51">
      <w:pPr>
        <w:spacing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F17F51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Demagogue</w:t>
      </w:r>
      <w: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 xml:space="preserve"> -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 leader in </w:t>
      </w:r>
      <w:r w:rsidRPr="00F17F51">
        <w:rPr>
          <w:rFonts w:ascii="Arial" w:hAnsi="Arial" w:cs="Arial"/>
          <w:sz w:val="21"/>
          <w:szCs w:val="21"/>
          <w:shd w:val="clear" w:color="auto" w:fill="FFFFFF"/>
        </w:rPr>
        <w:t>a</w:t>
      </w:r>
      <w:r w:rsidRPr="00F17F5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5" w:tooltip="Democracy" w:history="1">
        <w:r w:rsidRPr="00F17F51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democracy</w:t>
        </w:r>
      </w:hyperlink>
      <w:r w:rsidRPr="00F17F5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F17F51">
        <w:rPr>
          <w:rFonts w:ascii="Arial" w:hAnsi="Arial" w:cs="Arial"/>
          <w:sz w:val="21"/>
          <w:szCs w:val="21"/>
          <w:shd w:val="clear" w:color="auto" w:fill="FFFFFF"/>
        </w:rPr>
        <w:t>who gains popularity by exploiting</w:t>
      </w:r>
      <w:r w:rsidRPr="00F17F5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hyperlink r:id="rId6" w:tooltip="Prejudice" w:history="1">
        <w:r w:rsidRPr="00F17F51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prejudice</w:t>
        </w:r>
      </w:hyperlink>
      <w:r w:rsidRPr="00F17F5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F17F51">
        <w:rPr>
          <w:rFonts w:ascii="Arial" w:hAnsi="Arial" w:cs="Arial"/>
          <w:sz w:val="21"/>
          <w:szCs w:val="21"/>
          <w:shd w:val="clear" w:color="auto" w:fill="FFFFFF"/>
        </w:rPr>
        <w:t>and</w:t>
      </w:r>
      <w:r w:rsidRPr="00F17F5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7" w:tooltip="Ignorance" w:history="1">
        <w:r w:rsidRPr="00F17F51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ignorance</w:t>
        </w:r>
      </w:hyperlink>
      <w:r w:rsidRPr="00F17F5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17F51">
        <w:rPr>
          <w:rFonts w:ascii="Arial" w:hAnsi="Arial" w:cs="Arial"/>
          <w:sz w:val="21"/>
          <w:szCs w:val="21"/>
          <w:shd w:val="clear" w:color="auto" w:fill="FFFFFF"/>
        </w:rPr>
        <w:t>among the</w:t>
      </w:r>
      <w:r w:rsidRPr="00F17F5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8" w:tooltip="Common people" w:history="1">
        <w:r w:rsidRPr="00F17F51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common people</w:t>
        </w:r>
      </w:hyperlink>
      <w:r w:rsidRPr="00F17F51">
        <w:rPr>
          <w:rFonts w:ascii="Arial" w:hAnsi="Arial" w:cs="Arial"/>
          <w:sz w:val="21"/>
          <w:szCs w:val="21"/>
          <w:shd w:val="clear" w:color="auto" w:fill="FFFFFF"/>
        </w:rPr>
        <w:t>, whipping up the</w:t>
      </w:r>
      <w:r w:rsidRPr="00F17F5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9" w:tooltip="Passions" w:history="1">
        <w:r w:rsidRPr="00F17F51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passions</w:t>
        </w:r>
      </w:hyperlink>
      <w:r w:rsidRPr="00F17F5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F17F51">
        <w:rPr>
          <w:rFonts w:ascii="Arial" w:hAnsi="Arial" w:cs="Arial"/>
          <w:sz w:val="21"/>
          <w:szCs w:val="21"/>
          <w:shd w:val="clear" w:color="auto" w:fill="FFFFFF"/>
        </w:rPr>
        <w:t>of the crowd and shutting down reasoned</w:t>
      </w:r>
      <w:r w:rsidRPr="00F17F5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0" w:tooltip="Deliberation" w:history="1">
        <w:r w:rsidRPr="00F17F51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deliberation</w:t>
        </w:r>
      </w:hyperlink>
      <w:r w:rsidRPr="00F17F51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F17F51" w:rsidRDefault="00F17F51" w:rsidP="00F17F51">
      <w:pPr>
        <w:spacing w:after="0" w:line="240" w:lineRule="auto"/>
      </w:pPr>
    </w:p>
    <w:p w:rsidR="00F17F51" w:rsidRDefault="00E06D10" w:rsidP="00F17F51">
      <w:pPr>
        <w:spacing w:after="0" w:line="240" w:lineRule="auto"/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McCarthyism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is the practice of making accusations of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Subversion" w:history="1">
        <w:r w:rsidRPr="00E06D10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subversion</w:t>
        </w:r>
      </w:hyperlink>
      <w:r w:rsidRPr="00E06D1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E06D10">
        <w:rPr>
          <w:rFonts w:ascii="Arial" w:hAnsi="Arial" w:cs="Arial"/>
          <w:sz w:val="21"/>
          <w:szCs w:val="21"/>
          <w:shd w:val="clear" w:color="auto" w:fill="FFFFFF"/>
        </w:rPr>
        <w:t>or</w:t>
      </w:r>
      <w:r w:rsidRPr="00E06D1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2" w:tooltip="Treason" w:history="1">
        <w:r w:rsidRPr="00E06D10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treason</w:t>
        </w:r>
      </w:hyperlink>
      <w:r w:rsidRPr="00E06D10"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without proper regard for evidence.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It also means "the practice of making unfair allegations or using unfair investigative techniques, especially in order to restrict dissent or political criticism."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The term has its origins in the period in the United States known as 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s</w:t>
      </w:r>
      <w:r w:rsidRPr="00E06D10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econd</w:t>
      </w:r>
      <w:r w:rsidRPr="00E06D10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Red Scare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lasting roughly from 1950 to 1956</w:t>
      </w: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  <w:r>
        <w:rPr>
          <w:noProof/>
        </w:rPr>
        <w:drawing>
          <wp:inline distT="0" distB="0" distL="0" distR="0" wp14:anchorId="39C61A95" wp14:editId="09E9A858">
            <wp:extent cx="1676400" cy="2078182"/>
            <wp:effectExtent l="0" t="0" r="0" b="0"/>
            <wp:docPr id="2" name="Picture 2" descr="https://media1.britannica.com/eb-media/51/19051-004-9926C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1.britannica.com/eb-media/51/19051-004-9926CB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51" w:rsidRPr="00E06D10" w:rsidRDefault="00C7241B" w:rsidP="00F17F51">
      <w:pPr>
        <w:spacing w:after="0" w:line="240" w:lineRule="auto"/>
        <w:rPr>
          <w:b/>
        </w:rPr>
      </w:pPr>
      <w:r>
        <w:rPr>
          <w:b/>
        </w:rPr>
        <w:t>Edward R. Mu</w:t>
      </w:r>
      <w:r w:rsidR="00F17F51" w:rsidRPr="00E06D10">
        <w:rPr>
          <w:b/>
        </w:rPr>
        <w:t>rrow</w:t>
      </w:r>
    </w:p>
    <w:p w:rsidR="00F17F51" w:rsidRDefault="00E06D10" w:rsidP="00F17F51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t xml:space="preserve">American Broadcast journalist – a pioneer of television news broadcasting. </w:t>
      </w:r>
      <w:r w:rsidRPr="00C7241B">
        <w:rPr>
          <w:rFonts w:cs="Arial"/>
          <w:color w:val="252525"/>
          <w:shd w:val="clear" w:color="auto" w:fill="FFFFFF"/>
        </w:rPr>
        <w:t>P</w:t>
      </w:r>
      <w:r w:rsidRPr="00C7241B">
        <w:rPr>
          <w:rFonts w:cs="Arial"/>
          <w:color w:val="252525"/>
          <w:shd w:val="clear" w:color="auto" w:fill="FFFFFF"/>
        </w:rPr>
        <w:t>roduced a series of reports that helped lead to the</w:t>
      </w:r>
      <w:r w:rsidRPr="00C7241B">
        <w:rPr>
          <w:rStyle w:val="apple-converted-space"/>
          <w:rFonts w:cs="Arial"/>
          <w:color w:val="252525"/>
          <w:shd w:val="clear" w:color="auto" w:fill="FFFFFF"/>
        </w:rPr>
        <w:t> </w:t>
      </w:r>
      <w:hyperlink r:id="rId14" w:tooltip="Censure" w:history="1">
        <w:r w:rsidRPr="00C7241B">
          <w:rPr>
            <w:rStyle w:val="Hyperlink"/>
            <w:rFonts w:cs="Arial"/>
            <w:color w:val="auto"/>
            <w:u w:val="none"/>
            <w:shd w:val="clear" w:color="auto" w:fill="FFFFFF"/>
          </w:rPr>
          <w:t>censure</w:t>
        </w:r>
      </w:hyperlink>
      <w:r w:rsidRPr="00C7241B">
        <w:rPr>
          <w:rStyle w:val="apple-converted-space"/>
          <w:rFonts w:cs="Arial"/>
          <w:shd w:val="clear" w:color="auto" w:fill="FFFFFF"/>
        </w:rPr>
        <w:t> </w:t>
      </w:r>
      <w:r w:rsidRPr="00C7241B">
        <w:rPr>
          <w:rFonts w:cs="Arial"/>
          <w:shd w:val="clear" w:color="auto" w:fill="FFFFFF"/>
        </w:rPr>
        <w:t>of Senator</w:t>
      </w:r>
      <w:r w:rsidRPr="00C7241B">
        <w:rPr>
          <w:rStyle w:val="apple-converted-space"/>
          <w:rFonts w:cs="Arial"/>
          <w:shd w:val="clear" w:color="auto" w:fill="FFFFFF"/>
        </w:rPr>
        <w:t> </w:t>
      </w:r>
      <w:hyperlink r:id="rId15" w:tooltip="Joseph McCarthy" w:history="1">
        <w:r w:rsidRPr="00C7241B">
          <w:rPr>
            <w:rStyle w:val="Hyperlink"/>
            <w:rFonts w:cs="Arial"/>
            <w:color w:val="auto"/>
            <w:u w:val="none"/>
            <w:shd w:val="clear" w:color="auto" w:fill="FFFFFF"/>
          </w:rPr>
          <w:t>Joseph McCarthy</w:t>
        </w:r>
      </w:hyperlink>
      <w:r w:rsidRPr="00C7241B">
        <w:rPr>
          <w:rFonts w:cs="Arial"/>
          <w:shd w:val="clear" w:color="auto" w:fill="FFFFFF"/>
        </w:rPr>
        <w:t>.</w:t>
      </w:r>
    </w:p>
    <w:p w:rsidR="00E06D10" w:rsidRDefault="00E06D10" w:rsidP="00F17F51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E06D10" w:rsidRDefault="00E06D10" w:rsidP="00F17F51">
      <w:pPr>
        <w:spacing w:after="0" w:line="240" w:lineRule="auto"/>
      </w:pPr>
      <w:r w:rsidRPr="00E06D10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Censure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-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an expression of strong disapproval or harsh criticism.</w:t>
      </w: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 w:rsidP="00F17F51">
      <w:pPr>
        <w:spacing w:after="0" w:line="240" w:lineRule="auto"/>
      </w:pPr>
    </w:p>
    <w:p w:rsidR="00F17F51" w:rsidRDefault="00F17F51"/>
    <w:p w:rsidR="00F17F51" w:rsidRDefault="00F17F51">
      <w:r w:rsidRPr="00F17F51">
        <w:drawing>
          <wp:inline distT="0" distB="0" distL="0" distR="0">
            <wp:extent cx="1676400" cy="1676400"/>
            <wp:effectExtent l="0" t="0" r="0" b="0"/>
            <wp:docPr id="3" name="Picture 3" descr="http://a2.files.biography.com/image/upload/c_fit,cs_srgb,dpr_1.0,h_1200,q_80,w_1200/MTE4MDAzNDEwNjI3NTYwOT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.files.biography.com/image/upload/c_fit,cs_srgb,dpr_1.0,h_1200,q_80,w_1200/MTE4MDAzNDEwNjI3NTYwOTc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1B" w:rsidRDefault="00F17F51" w:rsidP="00C7241B">
      <w:pPr>
        <w:rPr>
          <w:b/>
        </w:rPr>
      </w:pPr>
      <w:r w:rsidRPr="00E06D10">
        <w:rPr>
          <w:b/>
        </w:rPr>
        <w:t>Arthur Miller</w:t>
      </w:r>
    </w:p>
    <w:p w:rsidR="00C7241B" w:rsidRPr="00C7241B" w:rsidRDefault="00C7241B" w:rsidP="00C7241B">
      <w:pPr>
        <w:rPr>
          <w:b/>
        </w:rPr>
      </w:pPr>
      <w:r w:rsidRPr="00C7241B">
        <w:rPr>
          <w:rFonts w:cs="Arial"/>
        </w:rPr>
        <w:t>(October 17, 1915 – February 10, 2005) was an American playwright, essayist, and prominent figure in twentieth-century</w:t>
      </w:r>
      <w:r w:rsidRPr="00C7241B">
        <w:rPr>
          <w:rStyle w:val="apple-converted-space"/>
          <w:rFonts w:cs="Arial"/>
        </w:rPr>
        <w:t> </w:t>
      </w:r>
      <w:hyperlink r:id="rId17" w:tooltip="Theater in the United States" w:history="1">
        <w:r w:rsidRPr="00C7241B">
          <w:rPr>
            <w:rStyle w:val="Hyperlink"/>
            <w:rFonts w:cs="Arial"/>
            <w:color w:val="auto"/>
            <w:u w:val="none"/>
          </w:rPr>
          <w:t>American theatre</w:t>
        </w:r>
      </w:hyperlink>
      <w:r w:rsidRPr="00C7241B">
        <w:rPr>
          <w:rFonts w:cs="Arial"/>
        </w:rPr>
        <w:t>. Among his most popular plays are</w:t>
      </w:r>
      <w:r w:rsidRPr="00C7241B">
        <w:rPr>
          <w:rStyle w:val="apple-converted-space"/>
          <w:rFonts w:cs="Arial"/>
        </w:rPr>
        <w:t> </w:t>
      </w:r>
      <w:hyperlink r:id="rId18" w:tooltip="All My Sons" w:history="1">
        <w:r w:rsidRPr="00C7241B">
          <w:rPr>
            <w:rStyle w:val="Hyperlink"/>
            <w:rFonts w:cs="Arial"/>
            <w:i/>
            <w:iCs/>
            <w:color w:val="auto"/>
            <w:u w:val="none"/>
          </w:rPr>
          <w:t>All My Sons</w:t>
        </w:r>
      </w:hyperlink>
      <w:r w:rsidRPr="00C7241B">
        <w:rPr>
          <w:rStyle w:val="apple-converted-space"/>
          <w:rFonts w:cs="Arial"/>
        </w:rPr>
        <w:t> </w:t>
      </w:r>
      <w:r w:rsidRPr="00C7241B">
        <w:rPr>
          <w:rFonts w:cs="Arial"/>
        </w:rPr>
        <w:t>(1947),</w:t>
      </w:r>
      <w:r w:rsidRPr="00C7241B">
        <w:rPr>
          <w:rStyle w:val="apple-converted-space"/>
          <w:rFonts w:cs="Arial"/>
        </w:rPr>
        <w:t> </w:t>
      </w:r>
      <w:hyperlink r:id="rId19" w:tooltip="Death of a Salesman" w:history="1">
        <w:r w:rsidRPr="00C7241B">
          <w:rPr>
            <w:rStyle w:val="Hyperlink"/>
            <w:rFonts w:cs="Arial"/>
            <w:i/>
            <w:iCs/>
            <w:color w:val="auto"/>
            <w:u w:val="none"/>
          </w:rPr>
          <w:t xml:space="preserve">Death of a </w:t>
        </w:r>
        <w:proofErr w:type="gramStart"/>
        <w:r w:rsidRPr="00C7241B">
          <w:rPr>
            <w:rStyle w:val="Hyperlink"/>
            <w:rFonts w:cs="Arial"/>
            <w:i/>
            <w:iCs/>
            <w:color w:val="auto"/>
            <w:u w:val="none"/>
          </w:rPr>
          <w:t>Salesman</w:t>
        </w:r>
        <w:proofErr w:type="gramEnd"/>
      </w:hyperlink>
      <w:r w:rsidRPr="00C7241B">
        <w:rPr>
          <w:rFonts w:cs="Arial"/>
        </w:rPr>
        <w:t>(1949),</w:t>
      </w:r>
      <w:r w:rsidRPr="00C7241B">
        <w:rPr>
          <w:rStyle w:val="apple-converted-space"/>
          <w:rFonts w:cs="Arial"/>
        </w:rPr>
        <w:t> </w:t>
      </w:r>
      <w:hyperlink r:id="rId20" w:tooltip="The Crucible" w:history="1">
        <w:r w:rsidRPr="00C7241B">
          <w:rPr>
            <w:rStyle w:val="Hyperlink"/>
            <w:rFonts w:cs="Arial"/>
            <w:i/>
            <w:iCs/>
            <w:color w:val="auto"/>
            <w:u w:val="none"/>
          </w:rPr>
          <w:t>The Crucible</w:t>
        </w:r>
      </w:hyperlink>
      <w:r w:rsidRPr="00C7241B">
        <w:rPr>
          <w:rStyle w:val="apple-converted-space"/>
          <w:rFonts w:cs="Arial"/>
        </w:rPr>
        <w:t> </w:t>
      </w:r>
      <w:r w:rsidRPr="00C7241B">
        <w:rPr>
          <w:rFonts w:cs="Arial"/>
        </w:rPr>
        <w:t>(1953</w:t>
      </w:r>
      <w:r>
        <w:rPr>
          <w:rFonts w:cs="Arial"/>
        </w:rPr>
        <w:t xml:space="preserve">). </w:t>
      </w:r>
      <w:r w:rsidRPr="00C7241B">
        <w:rPr>
          <w:rFonts w:cs="Arial"/>
        </w:rPr>
        <w:t>The drama</w:t>
      </w:r>
      <w:r w:rsidRPr="00C7241B">
        <w:rPr>
          <w:rStyle w:val="apple-converted-space"/>
          <w:rFonts w:cs="Arial"/>
        </w:rPr>
        <w:t> </w:t>
      </w:r>
      <w:hyperlink r:id="rId21" w:tooltip="Death of a Salesman" w:history="1">
        <w:r w:rsidRPr="00C7241B">
          <w:rPr>
            <w:rStyle w:val="Hyperlink"/>
            <w:rFonts w:cs="Arial"/>
            <w:i/>
            <w:iCs/>
            <w:color w:val="auto"/>
            <w:u w:val="none"/>
          </w:rPr>
          <w:t>Death of a Salesman</w:t>
        </w:r>
      </w:hyperlink>
      <w:r w:rsidRPr="00C7241B">
        <w:rPr>
          <w:rStyle w:val="apple-converted-space"/>
          <w:rFonts w:cs="Arial"/>
        </w:rPr>
        <w:t> </w:t>
      </w:r>
      <w:r w:rsidRPr="00C7241B">
        <w:rPr>
          <w:rFonts w:cs="Arial"/>
        </w:rPr>
        <w:t>is often numbered on the shor</w:t>
      </w:r>
      <w:bookmarkStart w:id="0" w:name="_GoBack"/>
      <w:bookmarkEnd w:id="0"/>
      <w:r w:rsidRPr="00C7241B">
        <w:rPr>
          <w:rFonts w:cs="Arial"/>
        </w:rPr>
        <w:t>t list of finest Ame</w:t>
      </w:r>
      <w:r>
        <w:rPr>
          <w:rFonts w:cs="Arial"/>
        </w:rPr>
        <w:t>rican plays in the 20th century.</w:t>
      </w:r>
    </w:p>
    <w:p w:rsidR="00C7241B" w:rsidRDefault="00C7241B" w:rsidP="00C7241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 w:rsidRPr="00C7241B">
        <w:rPr>
          <w:rFonts w:asciiTheme="minorHAnsi" w:hAnsiTheme="minorHAnsi" w:cs="Arial"/>
          <w:sz w:val="22"/>
          <w:szCs w:val="22"/>
        </w:rPr>
        <w:t>Miller was often in the public eye, particularly during the late 1940s, 1950s and early 1960s. During this time, he was awarded the</w:t>
      </w:r>
      <w:r w:rsidRPr="00C7241B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22" w:tooltip="Pulitzer Prize for Drama" w:history="1">
        <w:r w:rsidRPr="00C7241B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Pulitzer Prize for Drama</w:t>
        </w:r>
      </w:hyperlink>
      <w:r>
        <w:rPr>
          <w:rFonts w:asciiTheme="minorHAnsi" w:hAnsiTheme="minorHAnsi" w:cs="Arial"/>
          <w:sz w:val="22"/>
          <w:szCs w:val="22"/>
        </w:rPr>
        <w:t>,</w:t>
      </w:r>
      <w:r w:rsidRPr="00C7241B">
        <w:rPr>
          <w:rFonts w:asciiTheme="minorHAnsi" w:hAnsiTheme="minorHAnsi" w:cs="Arial"/>
          <w:sz w:val="22"/>
          <w:szCs w:val="22"/>
        </w:rPr>
        <w:t xml:space="preserve"> testified before </w:t>
      </w:r>
      <w:proofErr w:type="spellStart"/>
      <w:r w:rsidRPr="00C7241B">
        <w:rPr>
          <w:rFonts w:asciiTheme="minorHAnsi" w:hAnsiTheme="minorHAnsi" w:cs="Arial"/>
          <w:sz w:val="22"/>
          <w:szCs w:val="22"/>
        </w:rPr>
        <w:t>the</w:t>
      </w:r>
      <w:hyperlink r:id="rId23" w:tooltip="House Un-American Activities Committee" w:history="1">
        <w:r w:rsidRPr="00C7241B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House</w:t>
        </w:r>
        <w:proofErr w:type="spellEnd"/>
        <w:r w:rsidRPr="00C7241B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 xml:space="preserve"> Un-American Activities Committee</w:t>
        </w:r>
      </w:hyperlink>
      <w:r>
        <w:rPr>
          <w:rFonts w:asciiTheme="minorHAnsi" w:hAnsiTheme="minorHAnsi" w:cs="Arial"/>
          <w:sz w:val="22"/>
          <w:szCs w:val="22"/>
        </w:rPr>
        <w:t>,</w:t>
      </w:r>
      <w:r w:rsidRPr="00C7241B">
        <w:rPr>
          <w:rFonts w:asciiTheme="minorHAnsi" w:hAnsiTheme="minorHAnsi" w:cs="Arial"/>
          <w:sz w:val="22"/>
          <w:szCs w:val="22"/>
        </w:rPr>
        <w:t xml:space="preserve"> and was married to</w:t>
      </w:r>
      <w:r>
        <w:rPr>
          <w:rFonts w:asciiTheme="minorHAnsi" w:hAnsiTheme="minorHAnsi" w:cs="Arial"/>
          <w:sz w:val="22"/>
          <w:szCs w:val="22"/>
        </w:rPr>
        <w:t xml:space="preserve"> </w:t>
      </w:r>
      <w:hyperlink r:id="rId24" w:tooltip="Marilyn Monroe" w:history="1">
        <w:r w:rsidRPr="00C7241B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Marilyn Monroe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C7241B" w:rsidRPr="00E06D10" w:rsidRDefault="00C7241B">
      <w:pPr>
        <w:rPr>
          <w:b/>
        </w:rPr>
      </w:pPr>
    </w:p>
    <w:sectPr w:rsidR="00C7241B" w:rsidRPr="00E06D10" w:rsidSect="00F17F51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51"/>
    <w:rsid w:val="00C7241B"/>
    <w:rsid w:val="00E06D10"/>
    <w:rsid w:val="00F06967"/>
    <w:rsid w:val="00F1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BA956-995B-4FA8-9056-C84CCF2B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7F51"/>
  </w:style>
  <w:style w:type="character" w:styleId="Hyperlink">
    <w:name w:val="Hyperlink"/>
    <w:basedOn w:val="DefaultParagraphFont"/>
    <w:uiPriority w:val="99"/>
    <w:semiHidden/>
    <w:unhideWhenUsed/>
    <w:rsid w:val="00F17F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mmon_people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en.wikipedia.org/wiki/All_My_Son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Death_of_a_Salesman" TargetMode="External"/><Relationship Id="rId7" Type="http://schemas.openxmlformats.org/officeDocument/2006/relationships/hyperlink" Target="https://en.wikipedia.org/wiki/Ignorance" TargetMode="External"/><Relationship Id="rId12" Type="http://schemas.openxmlformats.org/officeDocument/2006/relationships/hyperlink" Target="https://en.wikipedia.org/wiki/Treason" TargetMode="External"/><Relationship Id="rId17" Type="http://schemas.openxmlformats.org/officeDocument/2006/relationships/hyperlink" Target="https://en.wikipedia.org/wiki/Theater_in_the_United_State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en.wikipedia.org/wiki/The_Crucibl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Prejudice" TargetMode="External"/><Relationship Id="rId11" Type="http://schemas.openxmlformats.org/officeDocument/2006/relationships/hyperlink" Target="https://en.wikipedia.org/wiki/Subversion" TargetMode="External"/><Relationship Id="rId24" Type="http://schemas.openxmlformats.org/officeDocument/2006/relationships/hyperlink" Target="https://en.wikipedia.org/wiki/Marilyn_Monroe" TargetMode="External"/><Relationship Id="rId5" Type="http://schemas.openxmlformats.org/officeDocument/2006/relationships/hyperlink" Target="https://en.wikipedia.org/wiki/Democracy" TargetMode="External"/><Relationship Id="rId15" Type="http://schemas.openxmlformats.org/officeDocument/2006/relationships/hyperlink" Target="https://en.wikipedia.org/wiki/Joseph_McCarthy" TargetMode="External"/><Relationship Id="rId23" Type="http://schemas.openxmlformats.org/officeDocument/2006/relationships/hyperlink" Target="https://en.wikipedia.org/wiki/House_Un-American_Activities_Committee" TargetMode="External"/><Relationship Id="rId10" Type="http://schemas.openxmlformats.org/officeDocument/2006/relationships/hyperlink" Target="https://en.wikipedia.org/wiki/Deliberation" TargetMode="External"/><Relationship Id="rId19" Type="http://schemas.openxmlformats.org/officeDocument/2006/relationships/hyperlink" Target="https://en.wikipedia.org/wiki/Death_of_a_Salesma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Passions" TargetMode="External"/><Relationship Id="rId14" Type="http://schemas.openxmlformats.org/officeDocument/2006/relationships/hyperlink" Target="https://en.wikipedia.org/wiki/Censure" TargetMode="External"/><Relationship Id="rId22" Type="http://schemas.openxmlformats.org/officeDocument/2006/relationships/hyperlink" Target="https://en.wikipedia.org/wiki/Pulitzer_Prize_for_Dr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1</cp:revision>
  <cp:lastPrinted>2016-09-21T15:09:00Z</cp:lastPrinted>
  <dcterms:created xsi:type="dcterms:W3CDTF">2016-09-21T14:46:00Z</dcterms:created>
  <dcterms:modified xsi:type="dcterms:W3CDTF">2016-09-21T18:15:00Z</dcterms:modified>
</cp:coreProperties>
</file>